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863DC0">
              <w:t>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140123" w:rsidRDefault="00140123" w:rsidP="00140123">
      <w:pPr>
        <w:jc w:val="both"/>
      </w:pPr>
    </w:p>
    <w:p w:rsidR="00140123" w:rsidRPr="00620B19" w:rsidRDefault="00140123" w:rsidP="00140123">
      <w:pPr>
        <w:tabs>
          <w:tab w:val="left" w:pos="14656"/>
        </w:tabs>
        <w:ind w:left="851"/>
        <w:jc w:val="center"/>
        <w:rPr>
          <w:b/>
          <w:sz w:val="20"/>
          <w:lang w:eastAsia="lt-LT"/>
        </w:rPr>
      </w:pPr>
      <w:r w:rsidRPr="00620B19">
        <w:rPr>
          <w:b/>
          <w:lang w:eastAsia="lt-LT"/>
        </w:rPr>
        <w:t xml:space="preserve">KLAIPĖDOS </w:t>
      </w:r>
      <w:r>
        <w:rPr>
          <w:b/>
          <w:lang w:eastAsia="lt-LT"/>
        </w:rPr>
        <w:t>LOPŠELIO-DARŽELIO „DOBILIUKAS“</w:t>
      </w:r>
    </w:p>
    <w:p w:rsidR="00140123" w:rsidRDefault="00140123" w:rsidP="00140123">
      <w:pPr>
        <w:jc w:val="center"/>
        <w:rPr>
          <w:b/>
          <w:lang w:eastAsia="lt-LT"/>
        </w:rPr>
      </w:pPr>
      <w:r>
        <w:rPr>
          <w:b/>
          <w:lang w:eastAsia="lt-LT"/>
        </w:rPr>
        <w:t>2022 METŲ VEIKLOS ATASKAITA</w:t>
      </w:r>
    </w:p>
    <w:p w:rsidR="00140123" w:rsidRDefault="00140123" w:rsidP="006526A1">
      <w:pPr>
        <w:rPr>
          <w:b/>
          <w:lang w:eastAsia="lt-LT"/>
        </w:rPr>
      </w:pPr>
    </w:p>
    <w:tbl>
      <w:tblPr>
        <w:tblpPr w:leftFromText="180" w:rightFromText="180" w:vertAnchor="text" w:horzAnchor="margin" w:tblpY="143"/>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40123" w:rsidTr="00B01560">
        <w:tc>
          <w:tcPr>
            <w:tcW w:w="9747" w:type="dxa"/>
            <w:tcBorders>
              <w:top w:val="nil"/>
              <w:left w:val="nil"/>
              <w:bottom w:val="nil"/>
              <w:right w:val="nil"/>
            </w:tcBorders>
          </w:tcPr>
          <w:p w:rsidR="00005AA0" w:rsidRDefault="00140123" w:rsidP="00005AA0">
            <w:pPr>
              <w:ind w:firstLine="567"/>
              <w:jc w:val="both"/>
            </w:pPr>
            <w:r>
              <w:t>Klaipėdos</w:t>
            </w:r>
            <w:r w:rsidR="006D2B6B">
              <w:t xml:space="preserve"> lopšelis-darželis „Dobiliukas“ </w:t>
            </w:r>
            <w:r>
              <w:t>(toliau – Įstaiga</w:t>
            </w:r>
            <w:r w:rsidRPr="00191C97">
              <w:t xml:space="preserve">) </w:t>
            </w:r>
            <w:r>
              <w:t xml:space="preserve">nuosekliai ir kokybiškai įgyvendina ikimokyklinio, priešmokyklinio ugdymo ir </w:t>
            </w:r>
            <w:r>
              <w:rPr>
                <w:lang w:eastAsia="lt-LT"/>
              </w:rPr>
              <w:t>4 neformaliojo vaikų švietimo programas</w:t>
            </w:r>
            <w:r>
              <w:t>. 2022</w:t>
            </w:r>
            <w:r w:rsidRPr="00191C97">
              <w:t>-09-01 duomenimis</w:t>
            </w:r>
            <w:r w:rsidR="004A66C7">
              <w:t>,</w:t>
            </w:r>
            <w:r w:rsidRPr="00191C97">
              <w:t xml:space="preserve"> </w:t>
            </w:r>
            <w:r>
              <w:t>Įstaigoje</w:t>
            </w:r>
            <w:r w:rsidRPr="00191C97">
              <w:t xml:space="preserve"> </w:t>
            </w:r>
            <w:r>
              <w:t xml:space="preserve">veikė 10 grupių, iš jų 8 ikimokyklinio ugdymo grupes lankė 134 </w:t>
            </w:r>
            <w:r w:rsidRPr="00D30DCC">
              <w:t>vaikai</w:t>
            </w:r>
            <w:r>
              <w:t xml:space="preserve">, 2 priešmokyklinio ugdymo grupes lankė 35 vaikai, iš viso </w:t>
            </w:r>
            <w:r w:rsidRPr="00191C97">
              <w:t xml:space="preserve">ugdyti </w:t>
            </w:r>
            <w:r>
              <w:t xml:space="preserve">169 vaikai, 9 vaikams </w:t>
            </w:r>
            <w:r w:rsidRPr="00D30DCC">
              <w:t>nustatyti speciali</w:t>
            </w:r>
            <w:r w:rsidR="00CE49E5">
              <w:t>ų</w:t>
            </w:r>
            <w:r w:rsidRPr="00D30DCC">
              <w:t>j</w:t>
            </w:r>
            <w:r w:rsidR="00CE49E5">
              <w:t>ų</w:t>
            </w:r>
            <w:r w:rsidRPr="00D30DCC">
              <w:t xml:space="preserve"> ugdymosi poreiki</w:t>
            </w:r>
            <w:r w:rsidR="00CE49E5">
              <w:t>ų</w:t>
            </w:r>
            <w:r>
              <w:t xml:space="preserve"> (toliau – SUP) turintys. Dirbo 49</w:t>
            </w:r>
            <w:r w:rsidRPr="00BB7328">
              <w:t xml:space="preserve"> darbuotojai, t.</w:t>
            </w:r>
            <w:r w:rsidR="006D2B6B">
              <w:t xml:space="preserve"> </w:t>
            </w:r>
            <w:r w:rsidRPr="00BB7328">
              <w:t>y. 47,95 etato (2021 m. – 47 darbuotojai, 45,55 etato), iš jų 22 pedagogai</w:t>
            </w:r>
            <w:r w:rsidR="00CE49E5">
              <w:t xml:space="preserve"> </w:t>
            </w:r>
            <w:r>
              <w:t>ir 25 nepedagoginiai darbuotojai.</w:t>
            </w:r>
          </w:p>
          <w:p w:rsidR="00005AA0" w:rsidRDefault="00140123" w:rsidP="00005AA0">
            <w:pPr>
              <w:ind w:firstLine="567"/>
              <w:jc w:val="both"/>
            </w:pPr>
            <w:r w:rsidRPr="00403D95">
              <w:t>Pr</w:t>
            </w:r>
            <w:r>
              <w:t>aėjusiais metais Įstaiga veikė vadovaudamasi 2022–2024</w:t>
            </w:r>
            <w:r w:rsidRPr="00403D95">
              <w:t xml:space="preserve"> m. strateginiu planu (toli</w:t>
            </w:r>
            <w:r>
              <w:t>au – Strateginis planas) ir 2022</w:t>
            </w:r>
            <w:r w:rsidRPr="00403D95">
              <w:t xml:space="preserve"> m. veiklos planu (toliau –</w:t>
            </w:r>
            <w:r>
              <w:t xml:space="preserve"> Veiklos planas). 2022</w:t>
            </w:r>
            <w:r w:rsidRPr="00403D95">
              <w:t xml:space="preserve"> m. buvo siekiama įgyvendinti tris strateginius </w:t>
            </w:r>
            <w:r w:rsidRPr="009D7E6F">
              <w:t>prioritetus:</w:t>
            </w:r>
            <w:r>
              <w:t xml:space="preserve"> </w:t>
            </w:r>
            <w:r w:rsidRPr="009D7E6F">
              <w:t>1)</w:t>
            </w:r>
            <w:r>
              <w:t xml:space="preserve"> pedagogų profesionalumo didinimas; </w:t>
            </w:r>
            <w:r w:rsidRPr="000B0492">
              <w:t xml:space="preserve">2) </w:t>
            </w:r>
            <w:r>
              <w:t>vaikų pasiekimų ir veiksmingos švietimo pagalbos įvairių gebėjimų vaikams teikimo gerinimas;</w:t>
            </w:r>
            <w:r w:rsidRPr="000B0492">
              <w:t xml:space="preserve"> 3) </w:t>
            </w:r>
            <w:r>
              <w:t>duomenų analize ir įsivertinimu pagrįstos švietimo turinio ir vadybos kokybės užtikrinimas.</w:t>
            </w:r>
            <w:r w:rsidR="00037C67">
              <w:t xml:space="preserve">   </w:t>
            </w:r>
            <w:r w:rsidRPr="00BB7328">
              <w:t>Siekiant Strateginio plano pirmojo tikslo – užtikrinti kokybišką ugdymo proceso organizavimą – Įstaigos veikla buvo orientuojama į dviejų uždavinių įgyvendinimą:</w:t>
            </w:r>
          </w:p>
          <w:p w:rsidR="00037C67" w:rsidRDefault="00037C67" w:rsidP="00005AA0">
            <w:pPr>
              <w:ind w:firstLine="567"/>
              <w:jc w:val="both"/>
            </w:pPr>
            <w:r>
              <w:t xml:space="preserve">– </w:t>
            </w:r>
            <w:r w:rsidR="00140123" w:rsidRPr="00037C67">
              <w:t xml:space="preserve">įgyvendinant pirmąjį uždavinį – sudaryti </w:t>
            </w:r>
            <w:r>
              <w:t xml:space="preserve">sąlygas ugdytis ir gerinti </w:t>
            </w:r>
            <w:r w:rsidR="00140123" w:rsidRPr="00037C67">
              <w:t xml:space="preserve">ugdymo proceso </w:t>
            </w:r>
            <w:r w:rsidR="00140123" w:rsidRPr="00BB7328">
              <w:t>kokybę – vykdytos Strateginiame plane numatytos ugdymo proceso ir aplinkos užtikrinimo, darbuotojų kvalifikacijos tobulinimo ir atestacijos vykdymo, vaikų pažinimo ir savira</w:t>
            </w:r>
            <w:r w:rsidR="007C0A54">
              <w:t>i</w:t>
            </w:r>
            <w:r w:rsidR="00140123" w:rsidRPr="00BB7328">
              <w:t xml:space="preserve">škos poreikių tenkinimo priemonės. </w:t>
            </w:r>
            <w:r w:rsidR="00140123" w:rsidRPr="00BB7328">
              <w:rPr>
                <w:lang w:eastAsia="lt-LT"/>
              </w:rPr>
              <w:t>Tęsta veikla aktualizuojant ir tobulinant vaikų pasiekimų gerinimą ugdymo(si) kokybės užtikrinimo kontekste.</w:t>
            </w:r>
            <w:r w:rsidR="00140123">
              <w:rPr>
                <w:lang w:eastAsia="lt-LT"/>
              </w:rPr>
              <w:t xml:space="preserve"> Pradėta įgyvendinti </w:t>
            </w:r>
            <w:r w:rsidR="00140123" w:rsidRPr="00323619">
              <w:rPr>
                <w:lang w:eastAsia="lt-LT"/>
              </w:rPr>
              <w:t>Įstaigos vaikų pasiekimų gerinimo strategija</w:t>
            </w:r>
            <w:r w:rsidR="00140123">
              <w:rPr>
                <w:lang w:eastAsia="lt-LT"/>
              </w:rPr>
              <w:t xml:space="preserve"> (toliau – VPG strategija) 2022</w:t>
            </w:r>
            <w:r w:rsidR="00140123" w:rsidRPr="00323619">
              <w:rPr>
                <w:lang w:eastAsia="lt-LT"/>
              </w:rPr>
              <w:t>–2</w:t>
            </w:r>
            <w:r w:rsidR="00140123">
              <w:rPr>
                <w:lang w:eastAsia="lt-LT"/>
              </w:rPr>
              <w:t xml:space="preserve">024 metams. </w:t>
            </w:r>
            <w:r w:rsidR="00140123" w:rsidRPr="00323619">
              <w:rPr>
                <w:lang w:eastAsia="lt-LT"/>
              </w:rPr>
              <w:t>VPG strategija</w:t>
            </w:r>
            <w:r w:rsidR="00140123">
              <w:rPr>
                <w:lang w:eastAsia="lt-LT"/>
              </w:rPr>
              <w:t xml:space="preserve"> siekiama</w:t>
            </w:r>
            <w:r w:rsidR="00140123" w:rsidRPr="00323619">
              <w:rPr>
                <w:lang w:eastAsia="lt-LT"/>
              </w:rPr>
              <w:t xml:space="preserve"> </w:t>
            </w:r>
            <w:r w:rsidR="00140123">
              <w:rPr>
                <w:lang w:eastAsia="lt-LT"/>
              </w:rPr>
              <w:t xml:space="preserve">įtvirtinti </w:t>
            </w:r>
            <w:r w:rsidR="00140123" w:rsidRPr="00323619">
              <w:rPr>
                <w:lang w:eastAsia="lt-LT"/>
              </w:rPr>
              <w:t xml:space="preserve">pažangos </w:t>
            </w:r>
            <w:r w:rsidR="00140123">
              <w:rPr>
                <w:lang w:eastAsia="lt-LT"/>
              </w:rPr>
              <w:t xml:space="preserve">siekį </w:t>
            </w:r>
            <w:r w:rsidR="00140123" w:rsidRPr="00323619">
              <w:rPr>
                <w:lang w:eastAsia="lt-LT"/>
              </w:rPr>
              <w:t>vaikų komunikavimo, pažinimo ir sociali</w:t>
            </w:r>
            <w:r w:rsidR="00140123">
              <w:rPr>
                <w:lang w:eastAsia="lt-LT"/>
              </w:rPr>
              <w:t>nių kompetencijų ugdymo srityse ir užtikrinti nuoseklų vaikų ugdymo(si) kokybės gerinimo procesą Įstaigoje. Apibendrinus 2021 ir 2022 metų vaikų pasiekimų ir pažangos duomenis, pastebėti teigiami pokyčiai:</w:t>
            </w:r>
            <w:r w:rsidR="00CE49E5">
              <w:rPr>
                <w:lang w:eastAsia="lt-LT"/>
              </w:rPr>
              <w:t xml:space="preserve"> </w:t>
            </w:r>
            <w:r w:rsidR="00140123">
              <w:rPr>
                <w:lang w:eastAsia="lt-LT"/>
              </w:rPr>
              <w:t>pagerėjo vaikų pasiekimai ir pažanga</w:t>
            </w:r>
            <w:r w:rsidR="00140123" w:rsidRPr="00323619">
              <w:rPr>
                <w:lang w:eastAsia="lt-LT"/>
              </w:rPr>
              <w:t xml:space="preserve"> vaikų pažinimo </w:t>
            </w:r>
            <w:r w:rsidR="00140123">
              <w:rPr>
                <w:lang w:eastAsia="lt-LT"/>
              </w:rPr>
              <w:t>(tyrinėjimas),</w:t>
            </w:r>
            <w:r w:rsidR="00140123" w:rsidRPr="00323619">
              <w:rPr>
                <w:lang w:eastAsia="lt-LT"/>
              </w:rPr>
              <w:t xml:space="preserve"> sociali</w:t>
            </w:r>
            <w:r w:rsidR="00140123">
              <w:rPr>
                <w:lang w:eastAsia="lt-LT"/>
              </w:rPr>
              <w:t xml:space="preserve">nės, emocinės ir sveikos gyvensenos (santykiai su suaugusiais ir su bendraamžiais, emocijų suvokimas ir raiška, iniciatyvumas ir atkaklumas, kasdienio gyvenimo įgūdžiai, fizinis aktyvumas), kūrybiškumo (meninė raiška, estetinis suvokimas, kūrybiškumas) kompetencijų ugdymo srityse. </w:t>
            </w:r>
            <w:r w:rsidR="00140123" w:rsidRPr="001075EC">
              <w:rPr>
                <w:lang w:eastAsia="lt-LT"/>
              </w:rPr>
              <w:t xml:space="preserve">Orientuojantis į </w:t>
            </w:r>
            <w:r w:rsidR="00140123">
              <w:rPr>
                <w:lang w:eastAsia="lt-LT"/>
              </w:rPr>
              <w:t>novatorišką ugdymo turinį ir siekiant kiekvieno vaiko ugdymo(si) sėkmės,  2022 m. įgyvendinti ilgalaikiai tęstiniai tarptautiniai ir šalies projektai („Sveikatiada“, „Futboliukas“, „Teniso veiklų integracija“, „Vokiečių kalba su Hans Hase priešmokykliniame ugdyme“ ir t.</w:t>
            </w:r>
            <w:r w:rsidR="00CE49E5">
              <w:rPr>
                <w:lang w:eastAsia="lt-LT"/>
              </w:rPr>
              <w:t xml:space="preserve"> </w:t>
            </w:r>
            <w:r w:rsidR="00140123">
              <w:rPr>
                <w:lang w:eastAsia="lt-LT"/>
              </w:rPr>
              <w:t xml:space="preserve">t.), Sveikatą stiprinančių mokyklų tinklo 2019–2023 m. programa </w:t>
            </w:r>
            <w:r w:rsidR="00140123">
              <w:t>„Sveikatos pėdsekiai“,</w:t>
            </w:r>
            <w:r w:rsidR="00140123">
              <w:rPr>
                <w:lang w:eastAsia="lt-LT"/>
              </w:rPr>
              <w:t xml:space="preserve"> socializacijos („Zipio draugai“, „Kimochis“), prevencinės smurto ir patyčių programos, kitos Įstaigos, šalies ar tarptautinių projektų (73), pažintinių-edukacinių ir kultūrinių-saviraiškos renginių (39) programos. </w:t>
            </w:r>
            <w:r w:rsidR="00140123">
              <w:t>Vykdyta 7</w:t>
            </w:r>
            <w:r w:rsidR="00140123" w:rsidRPr="00B468E2">
              <w:t xml:space="preserve"> šalies ir Įstaigos t</w:t>
            </w:r>
            <w:r w:rsidR="00140123">
              <w:t>eminių savaičių</w:t>
            </w:r>
            <w:r w:rsidR="00CE49E5">
              <w:t xml:space="preserve"> </w:t>
            </w:r>
            <w:r w:rsidR="00140123">
              <w:t>/</w:t>
            </w:r>
            <w:r w:rsidR="00CE49E5">
              <w:t xml:space="preserve"> </w:t>
            </w:r>
            <w:r w:rsidR="00140123">
              <w:t>mėnesių veikla, inicijuotos ir organizuotos 47 kūrybinių darbų bei 8</w:t>
            </w:r>
            <w:r w:rsidR="00140123" w:rsidRPr="00B468E2">
              <w:t xml:space="preserve"> fotografijų</w:t>
            </w:r>
            <w:r w:rsidR="00140123">
              <w:t xml:space="preserve"> parodos</w:t>
            </w:r>
            <w:r w:rsidR="00140123" w:rsidRPr="00B468E2">
              <w:t xml:space="preserve"> šalies, miesto ir Įstaigos mastu</w:t>
            </w:r>
            <w:r w:rsidR="00140123">
              <w:t>, dalyvauta</w:t>
            </w:r>
            <w:r w:rsidR="00140123" w:rsidRPr="00B468E2">
              <w:t xml:space="preserve"> 9 tarptautiniuose, respubl</w:t>
            </w:r>
            <w:r w:rsidR="00140123">
              <w:t>ikiniuose ir miesto konkursuose, 19</w:t>
            </w:r>
            <w:r w:rsidR="00140123" w:rsidRPr="00B468E2">
              <w:t xml:space="preserve"> respu</w:t>
            </w:r>
            <w:r w:rsidR="00140123">
              <w:t>blikinėse ir Įstaigos akcijose, 7</w:t>
            </w:r>
            <w:r w:rsidR="00140123" w:rsidRPr="00B468E2">
              <w:t xml:space="preserve"> tarptautinėse, šalies ir miesto iniciatyvose, </w:t>
            </w:r>
            <w:r w:rsidR="00140123">
              <w:t xml:space="preserve">3 pleneruose. </w:t>
            </w:r>
            <w:r w:rsidR="00140123" w:rsidRPr="00B468E2">
              <w:t xml:space="preserve">Ugdymo(si) turinys </w:t>
            </w:r>
            <w:r w:rsidR="00140123">
              <w:t>plėtotas</w:t>
            </w:r>
            <w:r w:rsidR="00140123" w:rsidRPr="00B468E2">
              <w:t xml:space="preserve"> organizuojant</w:t>
            </w:r>
            <w:r w:rsidR="00140123">
              <w:t xml:space="preserve"> 9 įvairių formų šventes, 35 įvairius renginius su šeima</w:t>
            </w:r>
            <w:r w:rsidR="00140123" w:rsidRPr="00B468E2">
              <w:t xml:space="preserve">, </w:t>
            </w:r>
            <w:r w:rsidR="00140123">
              <w:t>30 edukacinių renginių</w:t>
            </w:r>
            <w:r w:rsidR="00140123" w:rsidRPr="00B468E2">
              <w:t xml:space="preserve"> Įstaigoje ir mieste. </w:t>
            </w:r>
            <w:r w:rsidR="00140123">
              <w:t xml:space="preserve">Pedagogų lyderystė, glaudus bendradarbiavimas su socialiniais partneriais ir </w:t>
            </w:r>
            <w:r w:rsidR="00140123" w:rsidRPr="00BB266A">
              <w:t>šeimomis užtikrino ugdymo(si) proceso organizavimo, ugdymo turinio plėtros ir vaikų pasiekimų lygio kilimą.</w:t>
            </w:r>
            <w:r w:rsidR="00140123">
              <w:t xml:space="preserve"> Tačiau pastebėtos neigiamos pandemijos pasekmės: į virtualų pasaulį persikeliantis</w:t>
            </w:r>
            <w:r w:rsidR="00DB4859">
              <w:t xml:space="preserve"> </w:t>
            </w:r>
            <w:r w:rsidR="00140123">
              <w:t>greitas pedagogų ir tėvų bendravimas, sumažėjęs Įstaigos ir šeimos kontaktinis bendradarbiavimas ir kita komunikacija.</w:t>
            </w:r>
          </w:p>
          <w:p w:rsidR="00BC753E" w:rsidRDefault="00140123" w:rsidP="00BC753E">
            <w:pPr>
              <w:ind w:firstLine="567"/>
              <w:jc w:val="both"/>
              <w:rPr>
                <w:lang w:eastAsia="lt-LT"/>
              </w:rPr>
            </w:pPr>
            <w:r>
              <w:t>Veiklos plane aktualizuotas tikslas – užtikrinti duomenų analize ir įsivertinimu pagrįst</w:t>
            </w:r>
            <w:r w:rsidR="00A11A89">
              <w:t>ą</w:t>
            </w:r>
            <w:r>
              <w:t xml:space="preserve"> ugdymo turinio ir vadybos kokybę. Įstaigos veiklos įsivertinimui tampant svarbia švietimo kokybės gerinimo prielaida</w:t>
            </w:r>
            <w:r w:rsidR="00F56BDE">
              <w:t>,</w:t>
            </w:r>
            <w:r>
              <w:t xml:space="preserve"> yra artėjama prie kokybiškesnio švietimo</w:t>
            </w:r>
            <w:r w:rsidR="003E1C79">
              <w:t xml:space="preserve">. Siekiant tvarios pažangos </w:t>
            </w:r>
            <w:r w:rsidR="003E1C79">
              <w:lastRenderedPageBreak/>
              <w:t>kur</w:t>
            </w:r>
            <w:r>
              <w:t>iant kokybės siekio kultūrą, 2022 m. Įstaigoje atliktas visuminis įsivertinimas</w:t>
            </w:r>
            <w:r w:rsidR="00F56BDE">
              <w:t>,</w:t>
            </w:r>
            <w:r>
              <w:t xml:space="preserve"> taikant Ikimokyklinio ir (ar) priešmokyklinio ugdymo programas vykdančių mokyklų įsivertinimo metodiką. Pedagogų (dalyvavo 70 proc.) apklausos metu nustatyta, kad aukščiausiu 3 lygiu, kai stebima išskirtinė praktika, įvertintos vaiko gerovės, ugdymosi, ugdymo strategijų, pasiekimų vertinimo sritys. 2 lygiu, kai stebima veiksminga praktika ir kokybė vertinama gerai, pedagogai įvertino ugdymo(si) aplinkų, bendradarbiavimo su vaikų šeimomis, besimokančios organizacijos kultūros sritis. Tėvai (apklausoje dalyvavo 34 proc. tėvų) 3 lygiu įvertino vaikų gerovės, ugdymo(si) aplinkų sritis, 2 lygiu įvertino bendradarbiavimą su vaikų šeimomis, besimokančios organizacijos kultūrą. Gauti rezultatai panaudoti planuojant Įstaigos veiklos pokyčius ir numatant siektinus rezultatus.</w:t>
            </w:r>
          </w:p>
          <w:p w:rsidR="00BC753E" w:rsidRDefault="00140123" w:rsidP="00BC753E">
            <w:pPr>
              <w:ind w:firstLine="567"/>
              <w:jc w:val="both"/>
              <w:rPr>
                <w:lang w:eastAsia="lt-LT"/>
              </w:rPr>
            </w:pPr>
            <w:r>
              <w:t>Lyginant 2020–2022 metų ugdomųjų veiklų stebėsenos rezultatus, pa</w:t>
            </w:r>
            <w:r w:rsidR="007C0A54">
              <w:t>s</w:t>
            </w:r>
            <w:r>
              <w:t xml:space="preserve">tebimi aukštesnės kokybės ugdomosios veiklos organizavimo požymiai. 2022 m. 89 proc. įgyvendinta pedagogų kvalifikacijos tobulinimo programa, 100 proc. (22) pedagogų vykdė savo veiklos savianalizę. </w:t>
            </w:r>
            <w:r w:rsidRPr="0055041F">
              <w:t>2022 m. pedagoginiai darbuotojai vidutiniškai kvalifikaciją tobulino</w:t>
            </w:r>
            <w:r>
              <w:t xml:space="preserve"> 18</w:t>
            </w:r>
            <w:r w:rsidRPr="0055041F">
              <w:t xml:space="preserve"> dienų</w:t>
            </w:r>
            <w:r>
              <w:t xml:space="preserve">. Tai sudarė sąlygas </w:t>
            </w:r>
            <w:r w:rsidRPr="007D72A2">
              <w:t xml:space="preserve">nuolatiniam profesiniam tobulėjimui, profesinės meistrystės augimui ir ugdymo kokybės gerinimui. </w:t>
            </w:r>
            <w:r>
              <w:t xml:space="preserve">Aktyviai dalyvauta miesto ikimokyklinių įstaigų 6 metodinių būrelių veikloje,  kitoje įvairioje metodinėje veikloje šalyje. Sėkminga praktika ir kylantys sunkumai aptarti miesto metodiniuose susirinkimuose (11). Aktyviai vykdyta gerosios patirties sklaida Įstaigoje, mieste ir šalyje </w:t>
            </w:r>
            <w:r w:rsidRPr="008141DF">
              <w:t xml:space="preserve">(25 renginiai). </w:t>
            </w:r>
            <w:r w:rsidRPr="0063032B">
              <w:t xml:space="preserve">Geroji Įstaigos </w:t>
            </w:r>
            <w:r>
              <w:t>patirtis pristatyta tinklapyje</w:t>
            </w:r>
            <w:r w:rsidRPr="0063032B">
              <w:t xml:space="preserve"> </w:t>
            </w:r>
            <w:hyperlink r:id="rId7" w:history="1">
              <w:r w:rsidRPr="003964FC">
                <w:rPr>
                  <w:rStyle w:val="Hipersaitas"/>
                </w:rPr>
                <w:t>www.svietimonaujienos.lt</w:t>
              </w:r>
            </w:hyperlink>
            <w:r>
              <w:t xml:space="preserve"> („Ką nuveikti, kad būtų įdomu priešmokyklinukui“, „Kelionė į džiungles, taikant STEAM metodiką“). 2022 m. Įstaigoje atestuotas 1 pedagogas, kuris įgijo mokytojo eksperto kvalifikacinę kategoriją</w:t>
            </w:r>
            <w:r w:rsidRPr="0063032B">
              <w:t xml:space="preserve">. </w:t>
            </w:r>
            <w:r>
              <w:t xml:space="preserve">Vykdyta mentorystės veikla 2 naujai pradėjusiems dirbti mokytojams. </w:t>
            </w:r>
            <w:r w:rsidRPr="007D72A2">
              <w:t>Vadovauta studentų praktikai</w:t>
            </w:r>
            <w:r>
              <w:t>. Nuolat augantis pedagogų kompetencijų plėtotės ir gilinimo mastas rodo, kad pavyko pasiekti ne tik Strateginiame ir Veiklos planuose, bet ir Valstybinėje švietimo 2013-2022 m. strategijoje numatytų</w:t>
            </w:r>
            <w:r w:rsidRPr="00336CCC">
              <w:t xml:space="preserve"> </w:t>
            </w:r>
            <w:r>
              <w:t xml:space="preserve">pokyčio </w:t>
            </w:r>
            <w:r w:rsidRPr="00336CCC">
              <w:t>siekinių.</w:t>
            </w:r>
          </w:p>
          <w:p w:rsidR="00005AA0" w:rsidRDefault="00140123" w:rsidP="00F56BDE">
            <w:pPr>
              <w:pStyle w:val="Sraopastraipa"/>
              <w:ind w:left="0" w:firstLine="567"/>
              <w:jc w:val="both"/>
              <w:rPr>
                <w:lang w:eastAsia="lt-LT"/>
              </w:rPr>
            </w:pPr>
            <w:r w:rsidRPr="00BC753E">
              <w:t>įgyvendinant antrąjį Strateginio plano uždavinį – teikti papildomas paslaugas</w:t>
            </w:r>
            <w:r w:rsidR="00F56BDE">
              <w:t xml:space="preserve"> – </w:t>
            </w:r>
            <w:r>
              <w:t xml:space="preserve">orientuotasi į </w:t>
            </w:r>
            <w:r w:rsidRPr="004F1416">
              <w:t>vaikų</w:t>
            </w:r>
            <w:r>
              <w:t xml:space="preserve"> sveikos mitybos įgūdžius ugdantį</w:t>
            </w:r>
            <w:r w:rsidRPr="004F1416">
              <w:t xml:space="preserve"> </w:t>
            </w:r>
            <w:r>
              <w:t>maitinimo organizavimą</w:t>
            </w:r>
            <w:r w:rsidRPr="004F1416">
              <w:t xml:space="preserve"> ir </w:t>
            </w:r>
            <w:r>
              <w:t>tinkamos švietimo pagalbos vaikui teikimą</w:t>
            </w:r>
            <w:r w:rsidRPr="004F1416">
              <w:t xml:space="preserve">. 100 proc. Įstaigą lankantiems vaikams </w:t>
            </w:r>
            <w:r>
              <w:t xml:space="preserve">užtikrinta palanki mityba 3 kartus per dieną teikiant </w:t>
            </w:r>
            <w:r w:rsidRPr="004F1416">
              <w:t>šviež</w:t>
            </w:r>
            <w:r>
              <w:t xml:space="preserve">ią, vietoje pagamintą maistą pagal sveikatai palankų valgiaraštį ir vykdant </w:t>
            </w:r>
            <w:r w:rsidRPr="00F56BDE">
              <w:rPr>
                <w:rFonts w:eastAsia="Calibri"/>
              </w:rPr>
              <w:t xml:space="preserve">Europos Sąjungos paramos pieno ir vaisių vartojimo skatinimo programas. </w:t>
            </w:r>
            <w:r>
              <w:t>Maisto sauga ir kokybė užtikrinta maisto gamybą vykdant</w:t>
            </w:r>
            <w:r w:rsidRPr="004F1416">
              <w:t xml:space="preserve"> Geros higienos praktikos, Lietuvos higienos normų reikalavimus atninkančioje virtuvėje.</w:t>
            </w:r>
            <w:r w:rsidRPr="00F56BDE">
              <w:rPr>
                <w:rFonts w:eastAsia="Calibri"/>
              </w:rPr>
              <w:t xml:space="preserve"> 6 vaikams, tenkinant tam tikrų sveikatos sutrikimų nulemtus poreikius, organizuotas pritaikytas maitinimas. </w:t>
            </w:r>
            <w:r>
              <w:t>28</w:t>
            </w:r>
            <w:r w:rsidRPr="00655D50">
              <w:t xml:space="preserve"> </w:t>
            </w:r>
            <w:r>
              <w:t>vaikams</w:t>
            </w:r>
            <w:r w:rsidRPr="00655D50">
              <w:t xml:space="preserve"> taikyta 50 proc. mokesčio už vaikų maitinimą lengvata</w:t>
            </w:r>
            <w:r>
              <w:t xml:space="preserve"> (2021 m. – 23)</w:t>
            </w:r>
            <w:r w:rsidRPr="00655D50">
              <w:t xml:space="preserve">, </w:t>
            </w:r>
            <w:r>
              <w:t xml:space="preserve">5 </w:t>
            </w:r>
            <w:r w:rsidRPr="00655D50">
              <w:t>– 100 proc.</w:t>
            </w:r>
            <w:r>
              <w:t xml:space="preserve"> (2021 m. – 3).  Švietime įtvirtinant įtraukties principą ir</w:t>
            </w:r>
            <w:r w:rsidRPr="00F56BDE">
              <w:rPr>
                <w:rFonts w:eastAsia="Calibri"/>
              </w:rPr>
              <w:t xml:space="preserve"> siekiant padidinti ugdymo veiksmingumą, t</w:t>
            </w:r>
            <w:r>
              <w:t>ęsta pagalbos</w:t>
            </w:r>
            <w:r w:rsidRPr="00655D50">
              <w:t xml:space="preserve"> vaikui ir šeimai</w:t>
            </w:r>
            <w:r>
              <w:t xml:space="preserve"> veikla. </w:t>
            </w:r>
            <w:r w:rsidRPr="00655D50">
              <w:t>Logop</w:t>
            </w:r>
            <w:r>
              <w:t xml:space="preserve">edo pagalba (1 etatas) teikta 47 </w:t>
            </w:r>
            <w:r w:rsidRPr="00655D50">
              <w:t>vaikams</w:t>
            </w:r>
            <w:r>
              <w:t xml:space="preserve"> (2021 m. – 46)</w:t>
            </w:r>
            <w:r w:rsidRPr="00655D50">
              <w:t>.</w:t>
            </w:r>
            <w:r>
              <w:t xml:space="preserve"> Glaudžiai bendradarbiaujant Įstaigos pedagogams ir šeimoms, parengti ir įgyvendinti 9 individualios pagalbos vaikui planai. Siekiant palankios ugdymo(si) aplinkos vaikams užtikrinimo, organizuota 11 Vaiko gerovės komisijos posėdžių, glaudžiai bendradarbiauta su Šeimos gerovės centru ir Klaipėdos miesto pedagogine psichologine tarnyba. Atlikta švietimo pagalbos teikimo analizė parodė, kad toliau būtina plėtoti koordinuotos švietimo pagalbos mechanizmus Įstaigoje ir tikslingai ruoštis planuojamiems įtraukiojo ugdymo pokyčiams šalyje.</w:t>
            </w:r>
          </w:p>
          <w:p w:rsidR="00BC753E" w:rsidRDefault="00140123" w:rsidP="00005AA0">
            <w:pPr>
              <w:ind w:firstLine="567"/>
              <w:jc w:val="both"/>
            </w:pPr>
            <w:r>
              <w:t xml:space="preserve">Siekiant Strateginio plano antrojo tikslo </w:t>
            </w:r>
            <w:r w:rsidRPr="00D248F2">
              <w:t>–</w:t>
            </w:r>
            <w:r>
              <w:t xml:space="preserve"> užtikrinti sveiką, saugią ir šiuolaikinius ugdymo(si) reikalavimus atliepiančią aplinką </w:t>
            </w:r>
            <w:r w:rsidRPr="00D248F2">
              <w:t>–</w:t>
            </w:r>
            <w:r>
              <w:t xml:space="preserve"> Įstaigos veikla buvo orientuojama į aplinkos renovavimą ir atitiktį higienos reikalavimams, edukacinių erdvių kūrimą, informacinių ir komunikacinių technologijų ir priemonių įsigijimą. </w:t>
            </w:r>
            <w:r w:rsidRPr="00D248F2">
              <w:t>Tiksl</w:t>
            </w:r>
            <w:r>
              <w:t>ui pasiekti</w:t>
            </w:r>
            <w:r w:rsidRPr="00D248F2">
              <w:t xml:space="preserve"> </w:t>
            </w:r>
            <w:r>
              <w:t>buvo įgyvendinami</w:t>
            </w:r>
            <w:r w:rsidRPr="00D248F2">
              <w:t xml:space="preserve"> </w:t>
            </w:r>
            <w:r>
              <w:t>du uždaviniai:</w:t>
            </w:r>
            <w:r w:rsidRPr="00D248F2">
              <w:t xml:space="preserve"> </w:t>
            </w:r>
            <w:r>
              <w:t>1) gerinti ugdymo sąlygas ir aplinką; 2) pritaikyti Įstaigos aplinkas švietimo reikmėms. Į</w:t>
            </w:r>
            <w:r w:rsidRPr="00A13BEE">
              <w:t xml:space="preserve">gyvendinant Strateginio plano antrojo tikslo </w:t>
            </w:r>
            <w:r>
              <w:t xml:space="preserve">uždavinius, </w:t>
            </w:r>
            <w:r w:rsidRPr="00A13BEE">
              <w:t xml:space="preserve">bendradarbiauta su Įstaigos taryba ir kitomis savivaldos institucijomis dėl </w:t>
            </w:r>
            <w:r>
              <w:t>efektyvaus turimų finansinių lėšų panaudojimo, kurta bendradarbiavimu grįsta kultūra. Racionaliai ir tikslingai panaudojus lėšas</w:t>
            </w:r>
            <w:r w:rsidR="00F56BDE">
              <w:t>,</w:t>
            </w:r>
            <w:r>
              <w:t xml:space="preserve"> įvykdytos numatytos priemonės: 1) suremontavus 1 grupės ir 1 rūbinės </w:t>
            </w:r>
            <w:r w:rsidRPr="00442B21">
              <w:t>patalpas</w:t>
            </w:r>
            <w:r>
              <w:t xml:space="preserve"> (2000 Eur) sukurta moderni ugdymo(si) erdvė; 2) įsigytos naujos priemonės STEAM, informa</w:t>
            </w:r>
            <w:r w:rsidR="00CF3D92">
              <w:t>c</w:t>
            </w:r>
            <w:r>
              <w:t xml:space="preserve">inio mąstymo, kūrybiškumo ir kitoms vaikų </w:t>
            </w:r>
            <w:r>
              <w:lastRenderedPageBreak/>
              <w:t xml:space="preserve">kompetencijoms ugdyti (8000 Eur) sudarė sąlygas inovatyviems ugdymo(si) sprendimams, 3) įsigytos higienos, kitos priemonės ir </w:t>
            </w:r>
            <w:r w:rsidRPr="00A13BEE">
              <w:t xml:space="preserve">atlikti </w:t>
            </w:r>
            <w:r>
              <w:t xml:space="preserve">įvairūs </w:t>
            </w:r>
            <w:r w:rsidRPr="00A13BEE">
              <w:t>darbai užtikrino Įstaigos sklandų funkcionavimą.</w:t>
            </w:r>
            <w:r>
              <w:t xml:space="preserve"> </w:t>
            </w:r>
          </w:p>
          <w:p w:rsidR="00140123" w:rsidRDefault="00140123" w:rsidP="00005AA0">
            <w:pPr>
              <w:ind w:firstLine="567"/>
              <w:jc w:val="both"/>
            </w:pPr>
            <w:r>
              <w:t>2022</w:t>
            </w:r>
            <w:r w:rsidRPr="00002884">
              <w:t xml:space="preserve"> m. Įstaigos finansinė situacija buvo tokia:</w:t>
            </w:r>
          </w:p>
          <w:tbl>
            <w:tblPr>
              <w:tblStyle w:val="Lentelstinklelis"/>
              <w:tblW w:w="13178" w:type="dxa"/>
              <w:tblInd w:w="2" w:type="dxa"/>
              <w:tblLayout w:type="fixed"/>
              <w:tblLook w:val="04A0" w:firstRow="1" w:lastRow="0" w:firstColumn="1" w:lastColumn="0" w:noHBand="0" w:noVBand="1"/>
            </w:tblPr>
            <w:tblGrid>
              <w:gridCol w:w="2389"/>
              <w:gridCol w:w="1292"/>
              <w:gridCol w:w="1276"/>
              <w:gridCol w:w="1273"/>
              <w:gridCol w:w="3263"/>
              <w:gridCol w:w="236"/>
              <w:gridCol w:w="3449"/>
            </w:tblGrid>
            <w:tr w:rsidR="00140123" w:rsidRPr="00D423AA" w:rsidTr="00CF3D92">
              <w:trPr>
                <w:gridAfter w:val="2"/>
                <w:wAfter w:w="3685" w:type="dxa"/>
              </w:trPr>
              <w:tc>
                <w:tcPr>
                  <w:tcW w:w="2389" w:type="dxa"/>
                  <w:vMerge w:val="restart"/>
                  <w:tcBorders>
                    <w:top w:val="single" w:sz="4" w:space="0" w:color="auto"/>
                    <w:left w:val="single" w:sz="4" w:space="0" w:color="auto"/>
                    <w:bottom w:val="single" w:sz="4" w:space="0" w:color="auto"/>
                    <w:right w:val="single" w:sz="4" w:space="0" w:color="auto"/>
                  </w:tcBorders>
                  <w:hideMark/>
                </w:tcPr>
                <w:p w:rsidR="00140123" w:rsidRPr="00D423AA" w:rsidRDefault="00140123" w:rsidP="00863DC0">
                  <w:pPr>
                    <w:framePr w:hSpace="180" w:wrap="around" w:vAnchor="text" w:hAnchor="margin" w:y="143"/>
                    <w:ind w:firstLine="567"/>
                    <w:jc w:val="center"/>
                  </w:pPr>
                  <w:r w:rsidRPr="00D423AA">
                    <w:t>Finansavimo šaltinis</w:t>
                  </w:r>
                </w:p>
              </w:tc>
              <w:tc>
                <w:tcPr>
                  <w:tcW w:w="3841" w:type="dxa"/>
                  <w:gridSpan w:val="3"/>
                  <w:tcBorders>
                    <w:top w:val="single" w:sz="4" w:space="0" w:color="auto"/>
                    <w:left w:val="single" w:sz="4" w:space="0" w:color="auto"/>
                    <w:bottom w:val="single" w:sz="4" w:space="0" w:color="auto"/>
                    <w:right w:val="single" w:sz="4" w:space="0" w:color="auto"/>
                  </w:tcBorders>
                  <w:hideMark/>
                </w:tcPr>
                <w:p w:rsidR="00140123" w:rsidRPr="00D423AA" w:rsidRDefault="00140123" w:rsidP="00863DC0">
                  <w:pPr>
                    <w:framePr w:hSpace="180" w:wrap="around" w:vAnchor="text" w:hAnchor="margin" w:y="143"/>
                    <w:ind w:firstLine="567"/>
                    <w:jc w:val="center"/>
                  </w:pPr>
                  <w:r w:rsidRPr="00D423AA">
                    <w:t>Lėšos (tūkst. eurų)</w:t>
                  </w:r>
                </w:p>
              </w:tc>
              <w:tc>
                <w:tcPr>
                  <w:tcW w:w="3263" w:type="dxa"/>
                  <w:vMerge w:val="restart"/>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ind w:right="207" w:firstLine="567"/>
                    <w:jc w:val="both"/>
                  </w:pPr>
                  <w:r w:rsidRPr="00D423AA">
                    <w:t>Pastabos</w:t>
                  </w:r>
                </w:p>
                <w:p w:rsidR="00140123" w:rsidRPr="00D423AA" w:rsidRDefault="00140123" w:rsidP="00863DC0">
                  <w:pPr>
                    <w:framePr w:hSpace="180" w:wrap="around" w:vAnchor="text" w:hAnchor="margin" w:y="143"/>
                    <w:ind w:right="207" w:firstLine="567"/>
                    <w:jc w:val="center"/>
                  </w:pPr>
                </w:p>
              </w:tc>
            </w:tr>
            <w:tr w:rsidR="00140123" w:rsidRPr="00D423AA" w:rsidTr="00CF3D92">
              <w:trPr>
                <w:gridAfter w:val="2"/>
                <w:wAfter w:w="3685" w:type="dxa"/>
              </w:trPr>
              <w:tc>
                <w:tcPr>
                  <w:tcW w:w="2389" w:type="dxa"/>
                  <w:vMerge/>
                  <w:tcBorders>
                    <w:top w:val="single" w:sz="4" w:space="0" w:color="auto"/>
                    <w:left w:val="single" w:sz="4" w:space="0" w:color="auto"/>
                    <w:bottom w:val="single" w:sz="4" w:space="0" w:color="auto"/>
                    <w:right w:val="single" w:sz="4" w:space="0" w:color="auto"/>
                  </w:tcBorders>
                  <w:vAlign w:val="center"/>
                  <w:hideMark/>
                </w:tcPr>
                <w:p w:rsidR="00140123" w:rsidRPr="00D423AA" w:rsidRDefault="00140123" w:rsidP="00863DC0">
                  <w:pPr>
                    <w:framePr w:hSpace="180" w:wrap="around" w:vAnchor="text" w:hAnchor="margin" w:y="143"/>
                    <w:ind w:firstLine="567"/>
                  </w:pPr>
                </w:p>
              </w:tc>
              <w:tc>
                <w:tcPr>
                  <w:tcW w:w="1292" w:type="dxa"/>
                  <w:tcBorders>
                    <w:top w:val="single" w:sz="4" w:space="0" w:color="auto"/>
                    <w:left w:val="single" w:sz="4" w:space="0" w:color="auto"/>
                    <w:bottom w:val="single" w:sz="4" w:space="0" w:color="auto"/>
                    <w:right w:val="single" w:sz="4" w:space="0" w:color="auto"/>
                  </w:tcBorders>
                  <w:hideMark/>
                </w:tcPr>
                <w:p w:rsidR="00140123" w:rsidRPr="00D423AA" w:rsidRDefault="00140123" w:rsidP="00863DC0">
                  <w:pPr>
                    <w:framePr w:hSpace="180" w:wrap="around" w:vAnchor="text" w:hAnchor="margin" w:y="143"/>
                    <w:rPr>
                      <w:sz w:val="22"/>
                      <w:szCs w:val="22"/>
                    </w:rPr>
                  </w:pPr>
                  <w:r w:rsidRPr="00130CE2">
                    <w:t>Planas</w:t>
                  </w:r>
                  <w:r w:rsidRPr="00D423AA">
                    <w:rPr>
                      <w:sz w:val="20"/>
                    </w:rPr>
                    <w:t xml:space="preserve"> (patikslintas)</w:t>
                  </w:r>
                </w:p>
              </w:tc>
              <w:tc>
                <w:tcPr>
                  <w:tcW w:w="1276" w:type="dxa"/>
                  <w:tcBorders>
                    <w:top w:val="single" w:sz="4" w:space="0" w:color="auto"/>
                    <w:left w:val="single" w:sz="4" w:space="0" w:color="auto"/>
                    <w:bottom w:val="single" w:sz="4" w:space="0" w:color="auto"/>
                    <w:right w:val="single" w:sz="4" w:space="0" w:color="auto"/>
                  </w:tcBorders>
                  <w:hideMark/>
                </w:tcPr>
                <w:p w:rsidR="00140123" w:rsidRPr="00D423AA" w:rsidRDefault="00140123" w:rsidP="00863DC0">
                  <w:pPr>
                    <w:framePr w:hSpace="180" w:wrap="around" w:vAnchor="text" w:hAnchor="margin" w:y="143"/>
                  </w:pPr>
                  <w:r w:rsidRPr="00D423AA">
                    <w:t>Panaudota lėšų</w:t>
                  </w:r>
                </w:p>
              </w:tc>
              <w:tc>
                <w:tcPr>
                  <w:tcW w:w="1273" w:type="dxa"/>
                  <w:tcBorders>
                    <w:top w:val="single" w:sz="4" w:space="0" w:color="auto"/>
                    <w:left w:val="single" w:sz="4" w:space="0" w:color="auto"/>
                    <w:bottom w:val="single" w:sz="4" w:space="0" w:color="auto"/>
                    <w:right w:val="single" w:sz="4" w:space="0" w:color="auto"/>
                  </w:tcBorders>
                  <w:hideMark/>
                </w:tcPr>
                <w:p w:rsidR="00140123" w:rsidRPr="00D423AA" w:rsidRDefault="00140123" w:rsidP="00863DC0">
                  <w:pPr>
                    <w:framePr w:hSpace="180" w:wrap="around" w:vAnchor="text" w:hAnchor="margin" w:y="143"/>
                  </w:pPr>
                  <w:r w:rsidRPr="00D423AA">
                    <w:t>Įvykdymas (%)</w:t>
                  </w:r>
                </w:p>
              </w:tc>
              <w:tc>
                <w:tcPr>
                  <w:tcW w:w="3263" w:type="dxa"/>
                  <w:vMerge/>
                  <w:tcBorders>
                    <w:top w:val="single" w:sz="4" w:space="0" w:color="auto"/>
                    <w:left w:val="single" w:sz="4" w:space="0" w:color="auto"/>
                    <w:bottom w:val="single" w:sz="4" w:space="0" w:color="auto"/>
                    <w:right w:val="single" w:sz="4" w:space="0" w:color="auto"/>
                  </w:tcBorders>
                  <w:vAlign w:val="center"/>
                  <w:hideMark/>
                </w:tcPr>
                <w:p w:rsidR="00140123" w:rsidRPr="00D423AA" w:rsidRDefault="00140123" w:rsidP="00863DC0">
                  <w:pPr>
                    <w:framePr w:hSpace="180" w:wrap="around" w:vAnchor="text" w:hAnchor="margin" w:y="143"/>
                    <w:ind w:right="207" w:firstLine="567"/>
                  </w:pPr>
                </w:p>
              </w:tc>
            </w:tr>
            <w:tr w:rsidR="00140123" w:rsidRPr="00D423AA" w:rsidTr="00CF3D92">
              <w:trPr>
                <w:gridAfter w:val="2"/>
                <w:wAfter w:w="3685" w:type="dxa"/>
                <w:trHeight w:val="415"/>
              </w:trPr>
              <w:tc>
                <w:tcPr>
                  <w:tcW w:w="2389" w:type="dxa"/>
                  <w:tcBorders>
                    <w:top w:val="single" w:sz="4" w:space="0" w:color="auto"/>
                    <w:left w:val="single" w:sz="4" w:space="0" w:color="auto"/>
                    <w:bottom w:val="single" w:sz="4" w:space="0" w:color="auto"/>
                    <w:right w:val="single" w:sz="4" w:space="0" w:color="auto"/>
                  </w:tcBorders>
                  <w:hideMark/>
                </w:tcPr>
                <w:p w:rsidR="00140123" w:rsidRPr="00D423AA" w:rsidRDefault="00140123" w:rsidP="00863DC0">
                  <w:pPr>
                    <w:framePr w:hSpace="180" w:wrap="around" w:vAnchor="text" w:hAnchor="margin" w:y="143"/>
                    <w:ind w:firstLine="29"/>
                    <w:jc w:val="both"/>
                  </w:pPr>
                  <w:r w:rsidRPr="00D423AA">
                    <w:t>Savivaldybės biudžetas (SB)</w:t>
                  </w:r>
                </w:p>
              </w:tc>
              <w:tc>
                <w:tcPr>
                  <w:tcW w:w="1292"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jc w:val="center"/>
                  </w:pPr>
                  <w:r>
                    <w:t>483,0</w:t>
                  </w:r>
                </w:p>
              </w:tc>
              <w:tc>
                <w:tcPr>
                  <w:tcW w:w="1276"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ind w:hanging="107"/>
                    <w:jc w:val="center"/>
                  </w:pPr>
                  <w:r>
                    <w:t>481,398</w:t>
                  </w:r>
                </w:p>
              </w:tc>
              <w:tc>
                <w:tcPr>
                  <w:tcW w:w="1273"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ind w:right="-24"/>
                    <w:jc w:val="center"/>
                  </w:pPr>
                  <w:r>
                    <w:t>99,67</w:t>
                  </w:r>
                </w:p>
              </w:tc>
              <w:tc>
                <w:tcPr>
                  <w:tcW w:w="3263"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ind w:right="207" w:firstLine="567"/>
                  </w:pPr>
                </w:p>
              </w:tc>
            </w:tr>
            <w:tr w:rsidR="00140123" w:rsidRPr="00D423AA" w:rsidTr="00CF3D92">
              <w:trPr>
                <w:gridAfter w:val="2"/>
                <w:wAfter w:w="3685" w:type="dxa"/>
              </w:trPr>
              <w:tc>
                <w:tcPr>
                  <w:tcW w:w="2389" w:type="dxa"/>
                  <w:tcBorders>
                    <w:top w:val="single" w:sz="4" w:space="0" w:color="auto"/>
                    <w:left w:val="single" w:sz="4" w:space="0" w:color="auto"/>
                    <w:bottom w:val="single" w:sz="4" w:space="0" w:color="auto"/>
                    <w:right w:val="single" w:sz="4" w:space="0" w:color="auto"/>
                  </w:tcBorders>
                  <w:hideMark/>
                </w:tcPr>
                <w:p w:rsidR="00140123" w:rsidRPr="00D423AA" w:rsidRDefault="00140123" w:rsidP="00863DC0">
                  <w:pPr>
                    <w:framePr w:hSpace="180" w:wrap="around" w:vAnchor="text" w:hAnchor="margin" w:y="143"/>
                  </w:pPr>
                  <w:r w:rsidRPr="00D423AA">
                    <w:t>Specialioji tikslinė dotacija (VB)</w:t>
                  </w:r>
                </w:p>
              </w:tc>
              <w:tc>
                <w:tcPr>
                  <w:tcW w:w="1292"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jc w:val="center"/>
                  </w:pPr>
                  <w:r>
                    <w:t>294,6</w:t>
                  </w:r>
                </w:p>
              </w:tc>
              <w:tc>
                <w:tcPr>
                  <w:tcW w:w="1276"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jc w:val="center"/>
                  </w:pPr>
                  <w:r>
                    <w:t>294,599</w:t>
                  </w:r>
                </w:p>
              </w:tc>
              <w:tc>
                <w:tcPr>
                  <w:tcW w:w="1273"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jc w:val="center"/>
                  </w:pPr>
                  <w:r>
                    <w:t>99,99</w:t>
                  </w:r>
                </w:p>
              </w:tc>
              <w:tc>
                <w:tcPr>
                  <w:tcW w:w="3263"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ind w:right="207" w:firstLine="567"/>
                  </w:pPr>
                </w:p>
              </w:tc>
            </w:tr>
            <w:tr w:rsidR="00140123" w:rsidRPr="00D423AA" w:rsidTr="00CF3D92">
              <w:trPr>
                <w:gridAfter w:val="2"/>
                <w:wAfter w:w="3685" w:type="dxa"/>
              </w:trPr>
              <w:tc>
                <w:tcPr>
                  <w:tcW w:w="2389" w:type="dxa"/>
                  <w:tcBorders>
                    <w:top w:val="single" w:sz="4" w:space="0" w:color="auto"/>
                    <w:left w:val="single" w:sz="4" w:space="0" w:color="auto"/>
                    <w:bottom w:val="single" w:sz="4" w:space="0" w:color="auto"/>
                    <w:right w:val="single" w:sz="4" w:space="0" w:color="auto"/>
                  </w:tcBorders>
                  <w:hideMark/>
                </w:tcPr>
                <w:p w:rsidR="00140123" w:rsidRPr="00D423AA" w:rsidRDefault="00140123" w:rsidP="00863DC0">
                  <w:pPr>
                    <w:framePr w:hSpace="180" w:wrap="around" w:vAnchor="text" w:hAnchor="margin" w:y="143"/>
                  </w:pPr>
                  <w:r w:rsidRPr="00D423AA">
                    <w:t>Įstaigos gautos pajamos (surinkta pajamų SP), iš jų:</w:t>
                  </w:r>
                </w:p>
              </w:tc>
              <w:tc>
                <w:tcPr>
                  <w:tcW w:w="1292"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jc w:val="center"/>
                  </w:pPr>
                  <w:r>
                    <w:t>93,0</w:t>
                  </w:r>
                </w:p>
              </w:tc>
              <w:tc>
                <w:tcPr>
                  <w:tcW w:w="1276"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jc w:val="center"/>
                  </w:pPr>
                  <w:r>
                    <w:t>93,000</w:t>
                  </w:r>
                </w:p>
              </w:tc>
              <w:tc>
                <w:tcPr>
                  <w:tcW w:w="1273"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ind w:hanging="109"/>
                    <w:jc w:val="center"/>
                  </w:pPr>
                  <w:r>
                    <w:t>100</w:t>
                  </w:r>
                </w:p>
              </w:tc>
              <w:tc>
                <w:tcPr>
                  <w:tcW w:w="3263" w:type="dxa"/>
                  <w:tcBorders>
                    <w:top w:val="single" w:sz="4" w:space="0" w:color="auto"/>
                    <w:left w:val="single" w:sz="4" w:space="0" w:color="auto"/>
                    <w:bottom w:val="single" w:sz="4" w:space="0" w:color="auto"/>
                    <w:right w:val="single" w:sz="4" w:space="0" w:color="auto"/>
                  </w:tcBorders>
                </w:tcPr>
                <w:p w:rsidR="00140123" w:rsidRPr="003E7A15" w:rsidRDefault="00140123" w:rsidP="00863DC0">
                  <w:pPr>
                    <w:framePr w:hSpace="180" w:wrap="around" w:vAnchor="text" w:hAnchor="margin" w:y="143"/>
                    <w:ind w:firstLine="567"/>
                    <w:jc w:val="both"/>
                  </w:pPr>
                </w:p>
              </w:tc>
            </w:tr>
            <w:tr w:rsidR="00140123" w:rsidRPr="00D423AA" w:rsidTr="00CF3D92">
              <w:trPr>
                <w:gridAfter w:val="2"/>
                <w:wAfter w:w="3685" w:type="dxa"/>
                <w:trHeight w:val="395"/>
              </w:trPr>
              <w:tc>
                <w:tcPr>
                  <w:tcW w:w="2389" w:type="dxa"/>
                  <w:tcBorders>
                    <w:top w:val="single" w:sz="4" w:space="0" w:color="auto"/>
                    <w:left w:val="single" w:sz="4" w:space="0" w:color="auto"/>
                    <w:bottom w:val="single" w:sz="4" w:space="0" w:color="auto"/>
                    <w:right w:val="single" w:sz="4" w:space="0" w:color="auto"/>
                  </w:tcBorders>
                  <w:hideMark/>
                </w:tcPr>
                <w:p w:rsidR="00140123" w:rsidRPr="00D423AA" w:rsidRDefault="00140123" w:rsidP="00863DC0">
                  <w:pPr>
                    <w:framePr w:hSpace="180" w:wrap="around" w:vAnchor="text" w:hAnchor="margin" w:y="143"/>
                  </w:pPr>
                  <w:r w:rsidRPr="00D423AA">
                    <w:t>Pajamų išlaidos (SP)</w:t>
                  </w:r>
                </w:p>
              </w:tc>
              <w:tc>
                <w:tcPr>
                  <w:tcW w:w="1292"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ind w:firstLine="48"/>
                    <w:jc w:val="center"/>
                  </w:pPr>
                  <w:r>
                    <w:t>93,0</w:t>
                  </w:r>
                </w:p>
              </w:tc>
              <w:tc>
                <w:tcPr>
                  <w:tcW w:w="1276"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jc w:val="center"/>
                  </w:pPr>
                  <w:r>
                    <w:t>85,946</w:t>
                  </w:r>
                </w:p>
              </w:tc>
              <w:tc>
                <w:tcPr>
                  <w:tcW w:w="1273"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ind w:hanging="109"/>
                    <w:jc w:val="center"/>
                  </w:pPr>
                  <w:r>
                    <w:t>92,42</w:t>
                  </w:r>
                </w:p>
              </w:tc>
              <w:tc>
                <w:tcPr>
                  <w:tcW w:w="3263" w:type="dxa"/>
                  <w:tcBorders>
                    <w:top w:val="single" w:sz="4" w:space="0" w:color="auto"/>
                    <w:left w:val="single" w:sz="4" w:space="0" w:color="auto"/>
                    <w:bottom w:val="single" w:sz="4" w:space="0" w:color="auto"/>
                    <w:right w:val="single" w:sz="4" w:space="0" w:color="auto"/>
                  </w:tcBorders>
                </w:tcPr>
                <w:p w:rsidR="00140123" w:rsidRPr="003E7A15" w:rsidRDefault="00140123" w:rsidP="00863DC0">
                  <w:pPr>
                    <w:framePr w:hSpace="180" w:wrap="around" w:vAnchor="text" w:hAnchor="margin" w:y="143"/>
                    <w:jc w:val="both"/>
                  </w:pPr>
                  <w:r>
                    <w:t>Išlaidų plano neįvykdymas – 7,58 proc. Išlaidos mitybai buvo mažesnės nei planuotos dėl mažesnio vaikų lankomumo</w:t>
                  </w:r>
                </w:p>
              </w:tc>
            </w:tr>
            <w:tr w:rsidR="00140123" w:rsidRPr="00D423AA" w:rsidTr="00CF3D92">
              <w:trPr>
                <w:gridAfter w:val="2"/>
                <w:wAfter w:w="3685" w:type="dxa"/>
                <w:trHeight w:val="125"/>
              </w:trPr>
              <w:tc>
                <w:tcPr>
                  <w:tcW w:w="2389" w:type="dxa"/>
                  <w:tcBorders>
                    <w:top w:val="single" w:sz="4" w:space="0" w:color="auto"/>
                    <w:left w:val="single" w:sz="4" w:space="0" w:color="auto"/>
                    <w:bottom w:val="single" w:sz="4" w:space="0" w:color="auto"/>
                    <w:right w:val="single" w:sz="4" w:space="0" w:color="auto"/>
                  </w:tcBorders>
                  <w:hideMark/>
                </w:tcPr>
                <w:p w:rsidR="00140123" w:rsidRPr="00D423AA" w:rsidRDefault="00140123" w:rsidP="00863DC0">
                  <w:pPr>
                    <w:framePr w:hSpace="180" w:wrap="around" w:vAnchor="text" w:hAnchor="margin" w:y="143"/>
                  </w:pPr>
                  <w:r w:rsidRPr="00D423AA">
                    <w:t>Projektų finansavimas (ES; VB;SB)</w:t>
                  </w:r>
                </w:p>
              </w:tc>
              <w:tc>
                <w:tcPr>
                  <w:tcW w:w="1292"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ind w:firstLine="567"/>
                    <w:jc w:val="center"/>
                  </w:pPr>
                </w:p>
              </w:tc>
              <w:tc>
                <w:tcPr>
                  <w:tcW w:w="1276"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ind w:firstLine="567"/>
                    <w:jc w:val="center"/>
                  </w:pPr>
                </w:p>
              </w:tc>
              <w:tc>
                <w:tcPr>
                  <w:tcW w:w="1273"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ind w:firstLine="567"/>
                    <w:jc w:val="center"/>
                  </w:pPr>
                </w:p>
              </w:tc>
              <w:tc>
                <w:tcPr>
                  <w:tcW w:w="3263" w:type="dxa"/>
                  <w:tcBorders>
                    <w:top w:val="single" w:sz="4" w:space="0" w:color="auto"/>
                    <w:left w:val="single" w:sz="4" w:space="0" w:color="auto"/>
                    <w:bottom w:val="single" w:sz="4" w:space="0" w:color="auto"/>
                    <w:right w:val="single" w:sz="4" w:space="0" w:color="auto"/>
                  </w:tcBorders>
                </w:tcPr>
                <w:p w:rsidR="00140123" w:rsidRPr="003E7A15" w:rsidRDefault="00140123" w:rsidP="00863DC0">
                  <w:pPr>
                    <w:framePr w:hSpace="180" w:wrap="around" w:vAnchor="text" w:hAnchor="margin" w:y="143"/>
                    <w:ind w:right="207" w:firstLine="567"/>
                    <w:jc w:val="both"/>
                  </w:pPr>
                </w:p>
              </w:tc>
            </w:tr>
            <w:tr w:rsidR="00140123" w:rsidRPr="00D423AA" w:rsidTr="00CF3D92">
              <w:trPr>
                <w:gridAfter w:val="2"/>
                <w:wAfter w:w="3685" w:type="dxa"/>
              </w:trPr>
              <w:tc>
                <w:tcPr>
                  <w:tcW w:w="2389" w:type="dxa"/>
                  <w:tcBorders>
                    <w:top w:val="single" w:sz="4" w:space="0" w:color="auto"/>
                    <w:left w:val="single" w:sz="4" w:space="0" w:color="auto"/>
                    <w:bottom w:val="single" w:sz="4" w:space="0" w:color="auto"/>
                    <w:right w:val="single" w:sz="4" w:space="0" w:color="auto"/>
                  </w:tcBorders>
                  <w:hideMark/>
                </w:tcPr>
                <w:p w:rsidR="00140123" w:rsidRPr="00D423AA" w:rsidRDefault="00140123" w:rsidP="00863DC0">
                  <w:pPr>
                    <w:framePr w:hSpace="180" w:wrap="around" w:vAnchor="text" w:hAnchor="margin" w:y="143"/>
                    <w:ind w:hanging="113"/>
                  </w:pPr>
                  <w:r w:rsidRPr="00D423AA">
                    <w:t xml:space="preserve">Kitos lėšos (parama </w:t>
                  </w:r>
                  <w:r>
                    <w:t>1,</w:t>
                  </w:r>
                  <w:r w:rsidRPr="00D423AA">
                    <w:t>2 % G</w:t>
                  </w:r>
                  <w:r>
                    <w:t>P</w:t>
                  </w:r>
                  <w:r w:rsidRPr="00D423AA">
                    <w:t>M ir kt.)</w:t>
                  </w:r>
                </w:p>
              </w:tc>
              <w:tc>
                <w:tcPr>
                  <w:tcW w:w="1292"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ind w:hanging="94"/>
                    <w:jc w:val="center"/>
                  </w:pPr>
                  <w:r>
                    <w:t>0,7</w:t>
                  </w:r>
                </w:p>
              </w:tc>
              <w:tc>
                <w:tcPr>
                  <w:tcW w:w="1276"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ind w:hanging="107"/>
                    <w:jc w:val="center"/>
                  </w:pPr>
                  <w:r>
                    <w:t>0,428</w:t>
                  </w:r>
                </w:p>
              </w:tc>
              <w:tc>
                <w:tcPr>
                  <w:tcW w:w="1273" w:type="dxa"/>
                  <w:tcBorders>
                    <w:top w:val="single" w:sz="4" w:space="0" w:color="auto"/>
                    <w:left w:val="single" w:sz="4" w:space="0" w:color="auto"/>
                    <w:bottom w:val="single" w:sz="4" w:space="0" w:color="auto"/>
                    <w:right w:val="single" w:sz="4" w:space="0" w:color="auto"/>
                  </w:tcBorders>
                </w:tcPr>
                <w:p w:rsidR="00140123" w:rsidRPr="00D423AA" w:rsidRDefault="00140123" w:rsidP="00863DC0">
                  <w:pPr>
                    <w:framePr w:hSpace="180" w:wrap="around" w:vAnchor="text" w:hAnchor="margin" w:y="143"/>
                    <w:ind w:firstLine="32"/>
                    <w:jc w:val="center"/>
                  </w:pPr>
                  <w:r>
                    <w:t>61,14</w:t>
                  </w:r>
                </w:p>
              </w:tc>
              <w:tc>
                <w:tcPr>
                  <w:tcW w:w="3263" w:type="dxa"/>
                  <w:tcBorders>
                    <w:top w:val="single" w:sz="4" w:space="0" w:color="auto"/>
                    <w:left w:val="single" w:sz="4" w:space="0" w:color="auto"/>
                    <w:bottom w:val="single" w:sz="4" w:space="0" w:color="auto"/>
                    <w:right w:val="single" w:sz="4" w:space="0" w:color="auto"/>
                  </w:tcBorders>
                </w:tcPr>
                <w:p w:rsidR="00140123" w:rsidRPr="003E7A15" w:rsidRDefault="00140123" w:rsidP="00863DC0">
                  <w:pPr>
                    <w:framePr w:hSpace="180" w:wrap="around" w:vAnchor="text" w:hAnchor="margin" w:y="143"/>
                    <w:ind w:hanging="107"/>
                    <w:jc w:val="both"/>
                  </w:pPr>
                  <w:r w:rsidRPr="003E7A15">
                    <w:t>Nereikalaujančias einamųjų metų įvykdymo Įstaigos lėšas nuspręsta</w:t>
                  </w:r>
                  <w:r>
                    <w:t xml:space="preserve"> </w:t>
                  </w:r>
                  <w:r w:rsidRPr="003E7A15">
                    <w:t xml:space="preserve">panaudoti </w:t>
                  </w:r>
                  <w:r>
                    <w:t>2023 m.</w:t>
                  </w:r>
                  <w:r w:rsidRPr="003E7A15">
                    <w:t xml:space="preserve"> </w:t>
                  </w:r>
                  <w:r>
                    <w:t>edukacinei erdvei įrengti</w:t>
                  </w:r>
                </w:p>
              </w:tc>
            </w:tr>
            <w:tr w:rsidR="00140123" w:rsidRPr="00D423AA" w:rsidTr="00CF3D92">
              <w:trPr>
                <w:trHeight w:val="607"/>
              </w:trPr>
              <w:tc>
                <w:tcPr>
                  <w:tcW w:w="4957" w:type="dxa"/>
                  <w:gridSpan w:val="3"/>
                  <w:tcBorders>
                    <w:top w:val="single" w:sz="4" w:space="0" w:color="auto"/>
                    <w:left w:val="single" w:sz="4" w:space="0" w:color="auto"/>
                    <w:bottom w:val="single" w:sz="4" w:space="0" w:color="auto"/>
                    <w:right w:val="single" w:sz="4" w:space="0" w:color="auto"/>
                  </w:tcBorders>
                  <w:hideMark/>
                </w:tcPr>
                <w:p w:rsidR="00140123" w:rsidRPr="00D423AA" w:rsidRDefault="00140123" w:rsidP="00863DC0">
                  <w:pPr>
                    <w:framePr w:hSpace="180" w:wrap="around" w:vAnchor="text" w:hAnchor="margin" w:y="143"/>
                    <w:ind w:hanging="113"/>
                  </w:pPr>
                  <w:r w:rsidRPr="00D423AA">
                    <w:t>Kreditinis įsiskolinimas (pagal v</w:t>
                  </w:r>
                  <w:r>
                    <w:t>isus finansavimo šaltinius) 2023</w:t>
                  </w:r>
                  <w:r w:rsidRPr="00D423AA">
                    <w:t xml:space="preserve"> m. sausio 1 d. </w:t>
                  </w:r>
                </w:p>
              </w:tc>
              <w:tc>
                <w:tcPr>
                  <w:tcW w:w="1273" w:type="dxa"/>
                  <w:tcBorders>
                    <w:top w:val="single" w:sz="4" w:space="0" w:color="auto"/>
                    <w:left w:val="single" w:sz="4" w:space="0" w:color="auto"/>
                    <w:bottom w:val="single" w:sz="4" w:space="0" w:color="auto"/>
                    <w:right w:val="single" w:sz="4" w:space="0" w:color="auto"/>
                  </w:tcBorders>
                </w:tcPr>
                <w:p w:rsidR="00140123" w:rsidRPr="00D423AA" w:rsidRDefault="008B5280" w:rsidP="00863DC0">
                  <w:pPr>
                    <w:framePr w:hSpace="180" w:wrap="around" w:vAnchor="text" w:hAnchor="margin" w:y="143"/>
                    <w:ind w:firstLine="567"/>
                  </w:pPr>
                  <w:r>
                    <w:t>–</w:t>
                  </w:r>
                </w:p>
              </w:tc>
              <w:tc>
                <w:tcPr>
                  <w:tcW w:w="3263" w:type="dxa"/>
                  <w:tcBorders>
                    <w:top w:val="single" w:sz="4" w:space="0" w:color="auto"/>
                    <w:left w:val="single" w:sz="4" w:space="0" w:color="auto"/>
                    <w:bottom w:val="single" w:sz="4" w:space="0" w:color="auto"/>
                    <w:right w:val="single" w:sz="4" w:space="0" w:color="auto"/>
                  </w:tcBorders>
                </w:tcPr>
                <w:p w:rsidR="00140123" w:rsidRPr="003E7A15" w:rsidRDefault="00140123" w:rsidP="00863DC0">
                  <w:pPr>
                    <w:framePr w:hSpace="180" w:wrap="around" w:vAnchor="text" w:hAnchor="margin" w:y="143"/>
                    <w:ind w:firstLine="567"/>
                    <w:jc w:val="both"/>
                  </w:pPr>
                </w:p>
              </w:tc>
              <w:tc>
                <w:tcPr>
                  <w:tcW w:w="236" w:type="dxa"/>
                  <w:tcBorders>
                    <w:top w:val="nil"/>
                    <w:left w:val="single" w:sz="4" w:space="0" w:color="auto"/>
                    <w:bottom w:val="nil"/>
                    <w:right w:val="nil"/>
                  </w:tcBorders>
                </w:tcPr>
                <w:p w:rsidR="00140123" w:rsidRPr="00D423AA" w:rsidRDefault="00140123" w:rsidP="00863DC0">
                  <w:pPr>
                    <w:framePr w:hSpace="180" w:wrap="around" w:vAnchor="text" w:hAnchor="margin" w:y="143"/>
                    <w:spacing w:after="200" w:line="276" w:lineRule="auto"/>
                    <w:ind w:firstLine="567"/>
                  </w:pPr>
                </w:p>
              </w:tc>
              <w:tc>
                <w:tcPr>
                  <w:tcW w:w="3449" w:type="dxa"/>
                  <w:tcBorders>
                    <w:left w:val="nil"/>
                  </w:tcBorders>
                </w:tcPr>
                <w:p w:rsidR="00140123" w:rsidRPr="00D423AA" w:rsidRDefault="00140123" w:rsidP="00863DC0">
                  <w:pPr>
                    <w:framePr w:hSpace="180" w:wrap="around" w:vAnchor="text" w:hAnchor="margin" w:y="143"/>
                    <w:ind w:firstLine="567"/>
                  </w:pPr>
                  <w:r>
                    <w:t>Liko natūralūs įsiskolinimai (elektros energija, ryšiai)</w:t>
                  </w:r>
                </w:p>
              </w:tc>
            </w:tr>
          </w:tbl>
          <w:p w:rsidR="00BC753E" w:rsidRDefault="00140123" w:rsidP="008B5280">
            <w:pPr>
              <w:ind w:right="-22" w:firstLine="567"/>
              <w:jc w:val="both"/>
            </w:pPr>
            <w:r>
              <w:t>Įstaigoje 2022 m. buvo atlikti patikrinimai:</w:t>
            </w:r>
          </w:p>
          <w:p w:rsidR="008B5280" w:rsidRDefault="00140123" w:rsidP="008B5280">
            <w:pPr>
              <w:ind w:right="-22" w:firstLine="567"/>
              <w:jc w:val="both"/>
            </w:pPr>
            <w:r w:rsidRPr="00C96E95">
              <w:rPr>
                <w:rFonts w:eastAsiaTheme="minorHAnsi"/>
              </w:rPr>
              <w:t>Valstybinė</w:t>
            </w:r>
            <w:r>
              <w:rPr>
                <w:rFonts w:eastAsiaTheme="minorHAnsi"/>
              </w:rPr>
              <w:t>s</w:t>
            </w:r>
            <w:r w:rsidRPr="00C96E95">
              <w:rPr>
                <w:rFonts w:eastAsiaTheme="minorHAnsi"/>
              </w:rPr>
              <w:t xml:space="preserve"> maisto ir veterinarijos t</w:t>
            </w:r>
            <w:r>
              <w:rPr>
                <w:rFonts w:eastAsiaTheme="minorHAnsi"/>
              </w:rPr>
              <w:t xml:space="preserve">arnybos Klaipėdos departamento 2022-09-26 patikrinimo pagal aktą Nr. 37VMĮP-1822 metu nustatyta, kad Įstaigoje </w:t>
            </w:r>
            <w:r w:rsidRPr="00C96E95">
              <w:rPr>
                <w:rFonts w:eastAsiaTheme="minorHAnsi"/>
              </w:rPr>
              <w:t xml:space="preserve">savikontrolė pagal </w:t>
            </w:r>
            <w:r>
              <w:rPr>
                <w:rFonts w:eastAsiaTheme="minorHAnsi"/>
              </w:rPr>
              <w:t>Gerosios higienos praktikos taisykles</w:t>
            </w:r>
            <w:r w:rsidRPr="00C96E95">
              <w:rPr>
                <w:rFonts w:eastAsiaTheme="minorHAnsi"/>
              </w:rPr>
              <w:t xml:space="preserve"> vykdoma pilnai</w:t>
            </w:r>
            <w:r>
              <w:rPr>
                <w:rFonts w:eastAsiaTheme="minorHAnsi"/>
              </w:rPr>
              <w:t xml:space="preserve">, maisto tvarkyme pažeidimų nenustatyta. Klaipėdos miesto Savivaldybės administracijos Švietimo skyriaus atliktos švietimo </w:t>
            </w:r>
            <w:r w:rsidR="00CF3D92">
              <w:rPr>
                <w:rFonts w:eastAsiaTheme="minorHAnsi"/>
              </w:rPr>
              <w:t>į</w:t>
            </w:r>
            <w:r>
              <w:rPr>
                <w:rFonts w:eastAsiaTheme="minorHAnsi"/>
              </w:rPr>
              <w:t>staigų mokinių nelaimingų atsitikimų analizės metu pažeidimų nenustatyta, pateiktos bendros rekomendacijos.</w:t>
            </w:r>
          </w:p>
          <w:p w:rsidR="008B5280" w:rsidRDefault="00140123" w:rsidP="008B5280">
            <w:pPr>
              <w:ind w:right="-22" w:firstLine="567"/>
              <w:jc w:val="both"/>
            </w:pPr>
            <w:r>
              <w:t>2022</w:t>
            </w:r>
            <w:r w:rsidRPr="00EE0DCA">
              <w:t xml:space="preserve"> m. </w:t>
            </w:r>
            <w:r>
              <w:t xml:space="preserve">Įstaigoje liko neišspręstos </w:t>
            </w:r>
            <w:r w:rsidRPr="00A1646D">
              <w:t>vidaus ir išorės faktorių sąlygotos problemos:</w:t>
            </w:r>
          </w:p>
          <w:p w:rsidR="008B5280" w:rsidRDefault="00140123" w:rsidP="008B5280">
            <w:pPr>
              <w:ind w:right="-22" w:firstLine="567"/>
              <w:jc w:val="both"/>
            </w:pPr>
            <w:r>
              <w:rPr>
                <w:rFonts w:eastAsiaTheme="minorHAnsi"/>
                <w:lang w:eastAsia="lt-LT"/>
              </w:rPr>
              <w:t>1. Neremontuotos 1 grupės patalpos netenkina vaikų poreikių ir tėvų lūkesčių.</w:t>
            </w:r>
          </w:p>
          <w:p w:rsidR="008B5280" w:rsidRDefault="00140123" w:rsidP="008B5280">
            <w:pPr>
              <w:ind w:right="-22" w:firstLine="567"/>
              <w:jc w:val="both"/>
            </w:pPr>
            <w:r>
              <w:rPr>
                <w:rFonts w:eastAsiaTheme="minorHAnsi"/>
                <w:lang w:eastAsia="lt-LT"/>
              </w:rPr>
              <w:t>2. Dėl lėšų informacinių ir komunikacinių technologijų įsigijimui ir lauko edukacinių erdvių įrengimui stokos nesukuriamos šiuolaikiškos edukacinės aplinkos.</w:t>
            </w:r>
          </w:p>
          <w:p w:rsidR="008B5280" w:rsidRDefault="00BC753E" w:rsidP="008B5280">
            <w:pPr>
              <w:ind w:right="-22" w:firstLine="567"/>
              <w:jc w:val="both"/>
            </w:pPr>
            <w:r>
              <w:rPr>
                <w:rFonts w:eastAsiaTheme="minorHAnsi"/>
                <w:lang w:eastAsia="lt-LT"/>
              </w:rPr>
              <w:t>3.</w:t>
            </w:r>
            <w:r w:rsidR="00140123">
              <w:rPr>
                <w:rFonts w:eastAsiaTheme="minorHAnsi"/>
                <w:lang w:eastAsia="lt-LT"/>
              </w:rPr>
              <w:t xml:space="preserve"> Kasmet blogėjanti pastato išorės (laukinės sienos, tambūrai, pamatai) ir vidaus nuotekų kanalizacijos būklė.</w:t>
            </w:r>
          </w:p>
          <w:p w:rsidR="00140123" w:rsidRPr="00B74F18" w:rsidRDefault="00140123" w:rsidP="008B5280">
            <w:pPr>
              <w:ind w:right="-22" w:firstLine="567"/>
              <w:jc w:val="both"/>
            </w:pPr>
            <w:r w:rsidRPr="00D248F2">
              <w:t>Planuodama 202</w:t>
            </w:r>
            <w:r>
              <w:t>3 m. veiklą, Įstaigos</w:t>
            </w:r>
            <w:r w:rsidRPr="00D248F2">
              <w:t xml:space="preserve"> bendruomenė susitarė dėl tokių </w:t>
            </w:r>
            <w:r>
              <w:t xml:space="preserve">veiklos </w:t>
            </w:r>
            <w:r w:rsidRPr="00D248F2">
              <w:t>prioritetų</w:t>
            </w:r>
            <w:r>
              <w:t>: pedagogo pozityvaus profesionalumo stiprinimas, tvarios Įstaigos pažangos užtikrinimas ir sąlygų ugdytis kiekvienam vaikui, teikiant veiksmingą švietimo pagalbą, sudarymas</w:t>
            </w:r>
            <w:r w:rsidR="00BC753E">
              <w:t>.</w:t>
            </w:r>
          </w:p>
        </w:tc>
      </w:tr>
    </w:tbl>
    <w:p w:rsidR="004C067A" w:rsidRDefault="004C067A" w:rsidP="004C067A"/>
    <w:p w:rsidR="00BC753E" w:rsidRDefault="00BC753E" w:rsidP="004C067A"/>
    <w:p w:rsidR="00BC753E" w:rsidRDefault="00BC753E" w:rsidP="004C067A">
      <w:r>
        <w:t>Direktorė                                                                                                           Armida Baltrušaitienė</w:t>
      </w:r>
    </w:p>
    <w:p w:rsidR="00D57F27" w:rsidRPr="00832CC9" w:rsidRDefault="00140123" w:rsidP="00140123">
      <w:pPr>
        <w:jc w:val="center"/>
      </w:pPr>
      <w:r>
        <w:t>______________</w:t>
      </w:r>
      <w:r w:rsidR="004C067A">
        <w:t>______________</w:t>
      </w:r>
    </w:p>
    <w:sectPr w:rsidR="00D57F2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FB1" w:rsidRDefault="00014FB1" w:rsidP="00D57F27">
      <w:r>
        <w:separator/>
      </w:r>
    </w:p>
  </w:endnote>
  <w:endnote w:type="continuationSeparator" w:id="0">
    <w:p w:rsidR="00014FB1" w:rsidRDefault="00014FB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FB1" w:rsidRDefault="00014FB1" w:rsidP="00D57F27">
      <w:r>
        <w:separator/>
      </w:r>
    </w:p>
  </w:footnote>
  <w:footnote w:type="continuationSeparator" w:id="0">
    <w:p w:rsidR="00014FB1" w:rsidRDefault="00014FB1"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63DC0">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80B1A"/>
    <w:multiLevelType w:val="hybridMultilevel"/>
    <w:tmpl w:val="2FF40656"/>
    <w:lvl w:ilvl="0" w:tplc="72B27E0C">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A3033F7"/>
    <w:multiLevelType w:val="hybridMultilevel"/>
    <w:tmpl w:val="2D547FBC"/>
    <w:lvl w:ilvl="0" w:tplc="3294BD5C">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2D420055"/>
    <w:multiLevelType w:val="hybridMultilevel"/>
    <w:tmpl w:val="6B3AFDD0"/>
    <w:lvl w:ilvl="0" w:tplc="48264EDA">
      <w:start w:val="9"/>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3" w15:restartNumberingAfterBreak="0">
    <w:nsid w:val="614D0F36"/>
    <w:multiLevelType w:val="hybridMultilevel"/>
    <w:tmpl w:val="E0523122"/>
    <w:lvl w:ilvl="0" w:tplc="79E485E4">
      <w:start w:val="2022"/>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05AA0"/>
    <w:rsid w:val="00014FB1"/>
    <w:rsid w:val="00037C67"/>
    <w:rsid w:val="0006079E"/>
    <w:rsid w:val="000A6ECC"/>
    <w:rsid w:val="00140123"/>
    <w:rsid w:val="001857DB"/>
    <w:rsid w:val="0019615E"/>
    <w:rsid w:val="002A4F31"/>
    <w:rsid w:val="0034183E"/>
    <w:rsid w:val="003D07C6"/>
    <w:rsid w:val="003E1C79"/>
    <w:rsid w:val="004476DD"/>
    <w:rsid w:val="004A66C7"/>
    <w:rsid w:val="004C067A"/>
    <w:rsid w:val="00597EE8"/>
    <w:rsid w:val="005B434A"/>
    <w:rsid w:val="005F495C"/>
    <w:rsid w:val="00616F5A"/>
    <w:rsid w:val="006526A1"/>
    <w:rsid w:val="00677042"/>
    <w:rsid w:val="006D2B6B"/>
    <w:rsid w:val="007B1666"/>
    <w:rsid w:val="007C0A54"/>
    <w:rsid w:val="007D6FAB"/>
    <w:rsid w:val="00832CC9"/>
    <w:rsid w:val="008354D5"/>
    <w:rsid w:val="00863DC0"/>
    <w:rsid w:val="008B5280"/>
    <w:rsid w:val="008E6E82"/>
    <w:rsid w:val="00922B5B"/>
    <w:rsid w:val="00A11A89"/>
    <w:rsid w:val="00A339BB"/>
    <w:rsid w:val="00AD2BD5"/>
    <w:rsid w:val="00AF7D08"/>
    <w:rsid w:val="00B01560"/>
    <w:rsid w:val="00B750B6"/>
    <w:rsid w:val="00BC753E"/>
    <w:rsid w:val="00C362FD"/>
    <w:rsid w:val="00C57681"/>
    <w:rsid w:val="00CA4D3B"/>
    <w:rsid w:val="00CE49E5"/>
    <w:rsid w:val="00CF3D92"/>
    <w:rsid w:val="00D42B72"/>
    <w:rsid w:val="00D57F27"/>
    <w:rsid w:val="00DB4859"/>
    <w:rsid w:val="00DD319C"/>
    <w:rsid w:val="00E33871"/>
    <w:rsid w:val="00E56A73"/>
    <w:rsid w:val="00F1275A"/>
    <w:rsid w:val="00F56BDE"/>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8ECF3"/>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140123"/>
    <w:pPr>
      <w:ind w:left="720"/>
      <w:contextualSpacing/>
    </w:pPr>
    <w:rPr>
      <w:szCs w:val="20"/>
    </w:rPr>
  </w:style>
  <w:style w:type="character" w:styleId="Hipersaitas">
    <w:name w:val="Hyperlink"/>
    <w:uiPriority w:val="99"/>
    <w:rsid w:val="0014012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vietimonaujieno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7222</Words>
  <Characters>4118</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2023-05-02T11:03:00Z</dcterms:created>
  <dcterms:modified xsi:type="dcterms:W3CDTF">2023-05-04T05:50:00Z</dcterms:modified>
</cp:coreProperties>
</file>